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D821" w14:textId="77777777" w:rsidR="0007054C" w:rsidRDefault="0007054C" w:rsidP="0007054C">
      <w:pPr>
        <w:shd w:val="clear" w:color="auto" w:fill="FFFFFF"/>
        <w:spacing w:before="300" w:after="150" w:line="240" w:lineRule="auto"/>
        <w:ind w:right="525"/>
        <w:outlineLvl w:val="0"/>
        <w:rPr>
          <w:rFonts w:ascii="inherit" w:eastAsia="Times New Roman" w:hAnsi="inherit" w:cs="Noto Sans"/>
          <w:b/>
          <w:bCs/>
          <w:color w:val="495057"/>
          <w:kern w:val="36"/>
          <w:sz w:val="32"/>
          <w:szCs w:val="32"/>
          <w:lang w:eastAsia="en-IE"/>
          <w14:ligatures w14:val="none"/>
        </w:rPr>
      </w:pPr>
      <w:r w:rsidRPr="0007054C">
        <w:rPr>
          <w:rFonts w:ascii="inherit" w:eastAsia="Times New Roman" w:hAnsi="inherit" w:cs="Noto Sans"/>
          <w:b/>
          <w:bCs/>
          <w:color w:val="495057"/>
          <w:kern w:val="36"/>
          <w:sz w:val="32"/>
          <w:szCs w:val="32"/>
          <w:lang w:eastAsia="en-IE"/>
          <w14:ligatures w14:val="none"/>
        </w:rPr>
        <w:t>IT Portfolio Manager – Performance and Governance</w:t>
      </w:r>
    </w:p>
    <w:p w14:paraId="7F447B4D" w14:textId="6C3D0CAA" w:rsidR="0007054C" w:rsidRPr="0007054C" w:rsidRDefault="0007054C" w:rsidP="0007054C">
      <w:pPr>
        <w:shd w:val="clear" w:color="auto" w:fill="FFFFFF"/>
        <w:spacing w:before="300" w:after="150" w:line="240" w:lineRule="auto"/>
        <w:ind w:right="525"/>
        <w:outlineLvl w:val="0"/>
        <w:rPr>
          <w:rFonts w:ascii="inherit" w:eastAsia="Times New Roman" w:hAnsi="inherit" w:cs="Noto Sans"/>
          <w:b/>
          <w:bCs/>
          <w:color w:val="495057"/>
          <w:kern w:val="36"/>
          <w:sz w:val="32"/>
          <w:szCs w:val="32"/>
          <w:lang w:eastAsia="en-IE"/>
          <w14:ligatures w14:val="none"/>
        </w:rPr>
      </w:pPr>
      <w:r w:rsidRPr="0007054C">
        <w:rPr>
          <w:rFonts w:ascii="inherit" w:eastAsia="Times New Roman" w:hAnsi="inherit" w:cs="Noto Sans"/>
          <w:b/>
          <w:bCs/>
          <w:color w:val="495057"/>
          <w:kern w:val="0"/>
          <w:sz w:val="36"/>
          <w:szCs w:val="36"/>
          <w:lang w:eastAsia="en-IE"/>
          <w14:ligatures w14:val="none"/>
        </w:rPr>
        <w:t>About us</w:t>
      </w:r>
    </w:p>
    <w:p w14:paraId="013B2878"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The Fidelis Partnership is a leading privately-owned, Bermuda-based Managing General Underwriter, which, through its subsidiaries, is a global underwriter of property, bespoke and specialty insurance and reinsurance products. The Fidelis Partnership is one of the largest Managing General Underwriters globally and its operations also include outwards reinsurance, claims handling, exposure management and portfolio analytics. The Fidelis Partnership also sponsors and incubates specialist MGAs through its Pine Walk platform. The Fidelis Partnership is separately owned and managed from the ownership and management of Fidelis Insurance Group.</w:t>
      </w:r>
    </w:p>
    <w:p w14:paraId="558C41DC"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Across product lines and geographies, we focus on three diversified pillars: reinsurance, specialty and bespoke solutions. We are truly diversified. Our long-standing partnerships with capital providers and quota share partners make us nimble. Our breadth of expertise and capabilities deliver outstanding market returns.</w:t>
      </w:r>
    </w:p>
    <w:p w14:paraId="00C76C98" w14:textId="77777777" w:rsidR="0007054C" w:rsidRPr="0007054C" w:rsidRDefault="0007054C" w:rsidP="0007054C">
      <w:pPr>
        <w:shd w:val="clear" w:color="auto" w:fill="FFFFFF"/>
        <w:spacing w:before="450" w:after="525" w:line="240" w:lineRule="auto"/>
        <w:outlineLvl w:val="1"/>
        <w:rPr>
          <w:rFonts w:ascii="inherit" w:eastAsia="Times New Roman" w:hAnsi="inherit" w:cs="Noto Sans"/>
          <w:b/>
          <w:bCs/>
          <w:color w:val="495057"/>
          <w:kern w:val="0"/>
          <w:sz w:val="36"/>
          <w:szCs w:val="36"/>
          <w:lang w:eastAsia="en-IE"/>
          <w14:ligatures w14:val="none"/>
        </w:rPr>
      </w:pPr>
      <w:r w:rsidRPr="0007054C">
        <w:rPr>
          <w:rFonts w:ascii="inherit" w:eastAsia="Times New Roman" w:hAnsi="inherit" w:cs="Noto Sans"/>
          <w:b/>
          <w:bCs/>
          <w:color w:val="495057"/>
          <w:kern w:val="0"/>
          <w:sz w:val="36"/>
          <w:szCs w:val="36"/>
          <w:lang w:eastAsia="en-IE"/>
          <w14:ligatures w14:val="none"/>
        </w:rPr>
        <w:t>The role</w:t>
      </w:r>
    </w:p>
    <w:p w14:paraId="7D9DAFB9"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The IT Portfolio Manager, Performance and Governance is responsible for delivering high-quality, insightful management and Board-level reporting for the CITO function. The role ensures that senior management has high-quality performance, financial, and delivery information to support effective decision-making, investment optimisation, and accountability. Technology performance, risk, investment, and delivery are clearly articulated through accurate KPIs, dashboards, and executive-ready narratives.</w:t>
      </w:r>
    </w:p>
    <w:p w14:paraId="256B485E" w14:textId="77777777" w:rsidR="0007054C" w:rsidRPr="0007054C" w:rsidRDefault="0007054C" w:rsidP="0007054C">
      <w:pPr>
        <w:shd w:val="clear" w:color="auto" w:fill="FFFFFF"/>
        <w:spacing w:before="450" w:after="525" w:line="240" w:lineRule="auto"/>
        <w:outlineLvl w:val="1"/>
        <w:rPr>
          <w:rFonts w:ascii="inherit" w:eastAsia="Times New Roman" w:hAnsi="inherit" w:cs="Noto Sans"/>
          <w:b/>
          <w:bCs/>
          <w:color w:val="495057"/>
          <w:kern w:val="0"/>
          <w:sz w:val="36"/>
          <w:szCs w:val="36"/>
          <w:lang w:eastAsia="en-IE"/>
          <w14:ligatures w14:val="none"/>
        </w:rPr>
      </w:pPr>
      <w:r w:rsidRPr="0007054C">
        <w:rPr>
          <w:rFonts w:ascii="inherit" w:eastAsia="Times New Roman" w:hAnsi="inherit" w:cs="Noto Sans"/>
          <w:b/>
          <w:bCs/>
          <w:color w:val="495057"/>
          <w:kern w:val="0"/>
          <w:sz w:val="36"/>
          <w:szCs w:val="36"/>
          <w:lang w:eastAsia="en-IE"/>
          <w14:ligatures w14:val="none"/>
        </w:rPr>
        <w:t>Key accountabilities</w:t>
      </w:r>
    </w:p>
    <w:p w14:paraId="1FC3FC6B"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lang w:eastAsia="en-IE"/>
          <w14:ligatures w14:val="none"/>
        </w:rPr>
        <w:t>Reporting &amp; Management Information</w:t>
      </w:r>
    </w:p>
    <w:p w14:paraId="3CB7462D" w14:textId="77777777" w:rsidR="0007054C" w:rsidRPr="0007054C" w:rsidRDefault="0007054C" w:rsidP="0007054C">
      <w:pPr>
        <w:numPr>
          <w:ilvl w:val="0"/>
          <w:numId w:val="1"/>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Lead the preparation of CITO reporting for Senior Management and Board, aligned with regulatory expectations, Senior Management and Board requirements.</w:t>
      </w:r>
    </w:p>
    <w:p w14:paraId="5E0BF3C1" w14:textId="77777777" w:rsidR="0007054C" w:rsidRPr="0007054C" w:rsidRDefault="0007054C" w:rsidP="0007054C">
      <w:pPr>
        <w:numPr>
          <w:ilvl w:val="0"/>
          <w:numId w:val="1"/>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Define, monitor, and continuously improve portfolio performance measures, KPIs, and success metrics aligned to business outcomes.</w:t>
      </w:r>
    </w:p>
    <w:p w14:paraId="0B9310ED" w14:textId="77777777" w:rsidR="0007054C" w:rsidRPr="0007054C" w:rsidRDefault="0007054C" w:rsidP="0007054C">
      <w:pPr>
        <w:numPr>
          <w:ilvl w:val="0"/>
          <w:numId w:val="1"/>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Provide regular Management Information (MI) and progress updates on IT Change Portfolio.</w:t>
      </w:r>
    </w:p>
    <w:p w14:paraId="23FD1776" w14:textId="77777777" w:rsidR="0007054C" w:rsidRPr="0007054C" w:rsidRDefault="0007054C" w:rsidP="0007054C">
      <w:pPr>
        <w:numPr>
          <w:ilvl w:val="0"/>
          <w:numId w:val="1"/>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Produce clear, concise, and compelling reporting packs that highlight performance, risks, issues, trends, and forward outlook.</w:t>
      </w:r>
    </w:p>
    <w:p w14:paraId="3F79C8A8" w14:textId="77777777" w:rsidR="0007054C" w:rsidRPr="0007054C" w:rsidRDefault="0007054C" w:rsidP="0007054C">
      <w:pPr>
        <w:numPr>
          <w:ilvl w:val="0"/>
          <w:numId w:val="1"/>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Ensure reporting aligns with organisational governance standards, regulatory expectations, and Board requirements.</w:t>
      </w:r>
    </w:p>
    <w:p w14:paraId="3E13B71D" w14:textId="77777777" w:rsidR="0007054C" w:rsidRPr="0007054C" w:rsidRDefault="0007054C" w:rsidP="0007054C">
      <w:pPr>
        <w:numPr>
          <w:ilvl w:val="0"/>
          <w:numId w:val="1"/>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Design, maintain, and continuously improve the CITO KPI framework across technology delivery, operations, risk, resilience, financials, and people metrics.</w:t>
      </w:r>
    </w:p>
    <w:p w14:paraId="1564A476"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lang w:eastAsia="en-IE"/>
          <w14:ligatures w14:val="none"/>
        </w:rPr>
        <w:lastRenderedPageBreak/>
        <w:t>Data &amp; Insights</w:t>
      </w:r>
    </w:p>
    <w:p w14:paraId="5105FCF0" w14:textId="77777777" w:rsidR="0007054C" w:rsidRPr="0007054C" w:rsidRDefault="0007054C" w:rsidP="0007054C">
      <w:pPr>
        <w:numPr>
          <w:ilvl w:val="0"/>
          <w:numId w:val="2"/>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Gather data from multiple technology and enterprise sources and synthesise into a single, coherent view.</w:t>
      </w:r>
    </w:p>
    <w:p w14:paraId="6DC55442" w14:textId="77777777" w:rsidR="0007054C" w:rsidRPr="0007054C" w:rsidRDefault="0007054C" w:rsidP="0007054C">
      <w:pPr>
        <w:numPr>
          <w:ilvl w:val="0"/>
          <w:numId w:val="2"/>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Translate complex data into meaningful insights and recommendations for senior leaders.</w:t>
      </w:r>
    </w:p>
    <w:p w14:paraId="463E5659" w14:textId="77777777" w:rsidR="0007054C" w:rsidRPr="0007054C" w:rsidRDefault="0007054C" w:rsidP="0007054C">
      <w:pPr>
        <w:numPr>
          <w:ilvl w:val="0"/>
          <w:numId w:val="2"/>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Identify opportunities to automate, standardise, and visualise reporting (dashboards, self-service analytics)</w:t>
      </w:r>
    </w:p>
    <w:p w14:paraId="60835D3C"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lang w:eastAsia="en-IE"/>
          <w14:ligatures w14:val="none"/>
        </w:rPr>
        <w:t>Stakeholder Engagement</w:t>
      </w:r>
    </w:p>
    <w:p w14:paraId="2A9CBCE3" w14:textId="77777777" w:rsidR="0007054C" w:rsidRPr="0007054C" w:rsidRDefault="0007054C" w:rsidP="0007054C">
      <w:pPr>
        <w:numPr>
          <w:ilvl w:val="0"/>
          <w:numId w:val="3"/>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Work closely with the CITO and IT leadership, Change, Data, Finance and Risk teams to ensure accurate and timely inputs.</w:t>
      </w:r>
    </w:p>
    <w:p w14:paraId="5A070E21" w14:textId="77777777" w:rsidR="0007054C" w:rsidRPr="0007054C" w:rsidRDefault="0007054C" w:rsidP="0007054C">
      <w:pPr>
        <w:numPr>
          <w:ilvl w:val="0"/>
          <w:numId w:val="3"/>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Act as the central point of coordination for CITO reporting requests and ad-hoc executive queries.</w:t>
      </w:r>
    </w:p>
    <w:p w14:paraId="5BB5F4A2" w14:textId="77777777" w:rsidR="0007054C" w:rsidRPr="0007054C" w:rsidRDefault="0007054C" w:rsidP="0007054C">
      <w:pPr>
        <w:numPr>
          <w:ilvl w:val="0"/>
          <w:numId w:val="3"/>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Build strong relationships with senior stakeholders, influencing consistency and discipline in reporting practices</w:t>
      </w:r>
    </w:p>
    <w:p w14:paraId="6E76D339" w14:textId="77777777" w:rsidR="0007054C" w:rsidRPr="0007054C" w:rsidRDefault="0007054C" w:rsidP="0007054C">
      <w:pPr>
        <w:numPr>
          <w:ilvl w:val="0"/>
          <w:numId w:val="3"/>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Act as the primary IT contact for the central change function, ensuring consistent engagement and alignment.</w:t>
      </w:r>
    </w:p>
    <w:p w14:paraId="5F9232E2"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lang w:eastAsia="en-IE"/>
          <w14:ligatures w14:val="none"/>
        </w:rPr>
        <w:t>Governance &amp; Continuous Improvement</w:t>
      </w:r>
    </w:p>
    <w:p w14:paraId="06B6E7A4" w14:textId="77777777" w:rsidR="0007054C" w:rsidRPr="0007054C" w:rsidRDefault="0007054C" w:rsidP="0007054C">
      <w:pPr>
        <w:numPr>
          <w:ilvl w:val="0"/>
          <w:numId w:val="4"/>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Establish reporting calendars, standards, templates, and quality controls.</w:t>
      </w:r>
    </w:p>
    <w:p w14:paraId="31E12265" w14:textId="77777777" w:rsidR="0007054C" w:rsidRPr="0007054C" w:rsidRDefault="0007054C" w:rsidP="0007054C">
      <w:pPr>
        <w:numPr>
          <w:ilvl w:val="0"/>
          <w:numId w:val="4"/>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Drive continuous improvement in reporting efficiency, clarity, and value.</w:t>
      </w:r>
    </w:p>
    <w:p w14:paraId="24F14FCA" w14:textId="77777777" w:rsidR="0007054C" w:rsidRPr="0007054C" w:rsidRDefault="0007054C" w:rsidP="0007054C">
      <w:pPr>
        <w:shd w:val="clear" w:color="auto" w:fill="FFFFFF"/>
        <w:spacing w:before="450" w:after="525" w:line="240" w:lineRule="auto"/>
        <w:outlineLvl w:val="1"/>
        <w:rPr>
          <w:rFonts w:ascii="inherit" w:eastAsia="Times New Roman" w:hAnsi="inherit" w:cs="Noto Sans"/>
          <w:b/>
          <w:bCs/>
          <w:color w:val="495057"/>
          <w:kern w:val="0"/>
          <w:sz w:val="36"/>
          <w:szCs w:val="36"/>
          <w:lang w:eastAsia="en-IE"/>
          <w14:ligatures w14:val="none"/>
        </w:rPr>
      </w:pPr>
      <w:r w:rsidRPr="0007054C">
        <w:rPr>
          <w:rFonts w:ascii="inherit" w:eastAsia="Times New Roman" w:hAnsi="inherit" w:cs="Noto Sans"/>
          <w:b/>
          <w:bCs/>
          <w:color w:val="495057"/>
          <w:kern w:val="0"/>
          <w:sz w:val="36"/>
          <w:szCs w:val="36"/>
          <w:lang w:eastAsia="en-IE"/>
          <w14:ligatures w14:val="none"/>
        </w:rPr>
        <w:t>Skills &amp; experience</w:t>
      </w:r>
    </w:p>
    <w:p w14:paraId="588EBCB7" w14:textId="77777777" w:rsidR="0007054C" w:rsidRPr="0007054C" w:rsidRDefault="0007054C" w:rsidP="0007054C">
      <w:pPr>
        <w:numPr>
          <w:ilvl w:val="0"/>
          <w:numId w:val="5"/>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Significant experience in management, executive, or Board-level reporting within financial services or a highly regulated environment.</w:t>
      </w:r>
    </w:p>
    <w:p w14:paraId="76EAAB7E" w14:textId="77777777" w:rsidR="0007054C" w:rsidRPr="0007054C" w:rsidRDefault="0007054C" w:rsidP="0007054C">
      <w:pPr>
        <w:numPr>
          <w:ilvl w:val="0"/>
          <w:numId w:val="5"/>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Strong understanding of technology functions (IT, digital, cyber, delivery, operations) and how they are governed and measured.</w:t>
      </w:r>
    </w:p>
    <w:p w14:paraId="23C1FA02" w14:textId="77777777" w:rsidR="0007054C" w:rsidRPr="0007054C" w:rsidRDefault="0007054C" w:rsidP="0007054C">
      <w:pPr>
        <w:numPr>
          <w:ilvl w:val="0"/>
          <w:numId w:val="5"/>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Demonstrated experience designing and managing KPI frameworks.</w:t>
      </w:r>
    </w:p>
    <w:p w14:paraId="63A0F4AB" w14:textId="77777777" w:rsidR="0007054C" w:rsidRPr="0007054C" w:rsidRDefault="0007054C" w:rsidP="0007054C">
      <w:pPr>
        <w:numPr>
          <w:ilvl w:val="0"/>
          <w:numId w:val="5"/>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Exceptional written and verbal communication skills, with the ability to simplify complex information.</w:t>
      </w:r>
    </w:p>
    <w:p w14:paraId="30D72B13" w14:textId="77777777" w:rsidR="0007054C" w:rsidRPr="0007054C" w:rsidRDefault="0007054C" w:rsidP="0007054C">
      <w:pPr>
        <w:numPr>
          <w:ilvl w:val="0"/>
          <w:numId w:val="5"/>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Strong analytical capability with high attention to detail and data integrity.</w:t>
      </w:r>
    </w:p>
    <w:p w14:paraId="499C4168" w14:textId="77777777" w:rsidR="0007054C" w:rsidRPr="0007054C" w:rsidRDefault="0007054C" w:rsidP="0007054C">
      <w:pPr>
        <w:numPr>
          <w:ilvl w:val="0"/>
          <w:numId w:val="5"/>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Proven ability to work with senior executives and influence without direct authority.</w:t>
      </w:r>
    </w:p>
    <w:p w14:paraId="0A8613E4" w14:textId="77777777" w:rsidR="0007054C" w:rsidRPr="0007054C" w:rsidRDefault="0007054C" w:rsidP="0007054C">
      <w:pPr>
        <w:shd w:val="clear" w:color="auto" w:fill="FFFFFF"/>
        <w:spacing w:before="450" w:after="525" w:line="240" w:lineRule="auto"/>
        <w:outlineLvl w:val="1"/>
        <w:rPr>
          <w:rFonts w:ascii="inherit" w:eastAsia="Times New Roman" w:hAnsi="inherit" w:cs="Noto Sans"/>
          <w:b/>
          <w:bCs/>
          <w:color w:val="495057"/>
          <w:kern w:val="0"/>
          <w:sz w:val="36"/>
          <w:szCs w:val="36"/>
          <w:lang w:eastAsia="en-IE"/>
          <w14:ligatures w14:val="none"/>
        </w:rPr>
      </w:pPr>
      <w:r w:rsidRPr="0007054C">
        <w:rPr>
          <w:rFonts w:ascii="inherit" w:eastAsia="Times New Roman" w:hAnsi="inherit" w:cs="Noto Sans"/>
          <w:b/>
          <w:bCs/>
          <w:color w:val="495057"/>
          <w:kern w:val="0"/>
          <w:sz w:val="36"/>
          <w:szCs w:val="36"/>
          <w:lang w:eastAsia="en-IE"/>
          <w14:ligatures w14:val="none"/>
        </w:rPr>
        <w:t>Other</w:t>
      </w:r>
    </w:p>
    <w:p w14:paraId="54B5D4E3"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u w:val="single"/>
          <w:lang w:eastAsia="en-IE"/>
          <w14:ligatures w14:val="none"/>
        </w:rPr>
        <w:t>The Fidelis Partnership Ethos</w:t>
      </w:r>
    </w:p>
    <w:p w14:paraId="5EB4F81B"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lang w:eastAsia="en-IE"/>
          <w14:ligatures w14:val="none"/>
        </w:rPr>
        <w:t>At The Fidelis Partnership, we aim to be different while making a difference.</w:t>
      </w:r>
    </w:p>
    <w:p w14:paraId="5F9F165F" w14:textId="77777777" w:rsidR="0007054C" w:rsidRPr="0007054C" w:rsidRDefault="0007054C" w:rsidP="0007054C">
      <w:pPr>
        <w:numPr>
          <w:ilvl w:val="0"/>
          <w:numId w:val="6"/>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We set the standard for quality in our industry. Guided by our expertise, our clients can take unique and material risks with confidence.</w:t>
      </w:r>
    </w:p>
    <w:p w14:paraId="752A304C" w14:textId="77777777" w:rsidR="0007054C" w:rsidRPr="0007054C" w:rsidRDefault="0007054C" w:rsidP="0007054C">
      <w:pPr>
        <w:numPr>
          <w:ilvl w:val="0"/>
          <w:numId w:val="6"/>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lastRenderedPageBreak/>
        <w:t>Our approach is tailored and designed to deliver excellence for our clients. We are trailblazers, creating unique solutions in the (re)insurance space.</w:t>
      </w:r>
    </w:p>
    <w:p w14:paraId="6E8BC220" w14:textId="77777777" w:rsidR="0007054C" w:rsidRPr="0007054C" w:rsidRDefault="0007054C" w:rsidP="0007054C">
      <w:pPr>
        <w:numPr>
          <w:ilvl w:val="0"/>
          <w:numId w:val="6"/>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We are experts. Our brokers and clients value the depth of our knowledge and experience. We leverage state-of-the-art underwriting technology to be a market leader.</w:t>
      </w:r>
    </w:p>
    <w:p w14:paraId="02A342D6" w14:textId="77777777" w:rsidR="0007054C" w:rsidRPr="0007054C" w:rsidRDefault="0007054C" w:rsidP="0007054C">
      <w:pPr>
        <w:numPr>
          <w:ilvl w:val="0"/>
          <w:numId w:val="6"/>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We believe sound ethics make for good business. We deliver value for our customers, investors and communities while actively avoid trading with industries that cause harm to people, the environment and animals.</w:t>
      </w:r>
    </w:p>
    <w:p w14:paraId="4C47ACEF" w14:textId="77777777" w:rsidR="0007054C" w:rsidRPr="0007054C" w:rsidRDefault="0007054C" w:rsidP="0007054C">
      <w:pPr>
        <w:numPr>
          <w:ilvl w:val="0"/>
          <w:numId w:val="6"/>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We pride ourselves in creating a workplace that prizes execution, meritocracy, Diversity &amp; Inclusion. Our people herald from countless backgrounds and are united by ambition and the unabashed desire to deliver excellence every day. We provide a competitive environment that helps people cultivate themselves professionally and personally and balance a rigorous workplace with a mindset that prioritises environmental and charitable activities in our communities worldwide.</w:t>
      </w:r>
    </w:p>
    <w:p w14:paraId="74C23892"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Our ethos dictates our decisions and actions. It unites us as a team of experts and colleagues and provides us with a compass for ensuring we deliver our best to every stakeholder we serve.</w:t>
      </w:r>
    </w:p>
    <w:p w14:paraId="5A013186"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u w:val="single"/>
          <w:lang w:eastAsia="en-IE"/>
          <w14:ligatures w14:val="none"/>
        </w:rPr>
        <w:t>Diversity, Equity &amp; Inclusion</w:t>
      </w:r>
    </w:p>
    <w:p w14:paraId="7AD5BE83"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lang w:eastAsia="en-IE"/>
          <w14:ligatures w14:val="none"/>
        </w:rPr>
        <w:t>Diversity &amp; Inclusion in the workplace</w:t>
      </w:r>
    </w:p>
    <w:p w14:paraId="74FAA9D0" w14:textId="77777777" w:rsidR="0007054C" w:rsidRPr="0007054C" w:rsidRDefault="0007054C" w:rsidP="0007054C">
      <w:pPr>
        <w:numPr>
          <w:ilvl w:val="0"/>
          <w:numId w:val="7"/>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Insofar as possible, we aim to ensure the composition of our workforce reflects the make-up of the local community</w:t>
      </w:r>
    </w:p>
    <w:p w14:paraId="4F518513" w14:textId="77777777" w:rsidR="0007054C" w:rsidRPr="0007054C" w:rsidRDefault="0007054C" w:rsidP="0007054C">
      <w:pPr>
        <w:numPr>
          <w:ilvl w:val="0"/>
          <w:numId w:val="7"/>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We have specific programmes in all our offices to support diversity within the hiring process, e.g. internship and scholarship award programmes</w:t>
      </w:r>
    </w:p>
    <w:p w14:paraId="056B1521" w14:textId="77777777" w:rsidR="0007054C" w:rsidRPr="0007054C" w:rsidRDefault="0007054C" w:rsidP="0007054C">
      <w:pPr>
        <w:numPr>
          <w:ilvl w:val="0"/>
          <w:numId w:val="7"/>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This is a particular focus in Bermuda, where we engage actively with local organisations to source diverse talent and provide coaching/mentoring for underrepresented groups</w:t>
      </w:r>
    </w:p>
    <w:p w14:paraId="781643B0" w14:textId="77777777" w:rsidR="0007054C" w:rsidRPr="0007054C" w:rsidRDefault="0007054C" w:rsidP="0007054C">
      <w:pPr>
        <w:numPr>
          <w:ilvl w:val="0"/>
          <w:numId w:val="7"/>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We aim to maintain a focus on equal opportunities across all stages of hiring process</w:t>
      </w:r>
    </w:p>
    <w:p w14:paraId="092FB9B1" w14:textId="77777777" w:rsidR="0007054C" w:rsidRPr="0007054C" w:rsidRDefault="0007054C" w:rsidP="0007054C">
      <w:pPr>
        <w:numPr>
          <w:ilvl w:val="0"/>
          <w:numId w:val="7"/>
        </w:numPr>
        <w:shd w:val="clear" w:color="auto" w:fill="FFFFFF"/>
        <w:spacing w:before="100" w:beforeAutospacing="1" w:after="100" w:afterAutospacing="1"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We measure and minimise the pay gap where possible.</w:t>
      </w:r>
    </w:p>
    <w:p w14:paraId="06F36D6E"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b/>
          <w:bCs/>
          <w:color w:val="495057"/>
          <w:kern w:val="0"/>
          <w:sz w:val="21"/>
          <w:szCs w:val="21"/>
          <w:lang w:eastAsia="en-IE"/>
          <w14:ligatures w14:val="none"/>
        </w:rPr>
        <w:t>Bring Your Whole Self to Work</w:t>
      </w:r>
    </w:p>
    <w:p w14:paraId="43B9DC4B" w14:textId="77777777" w:rsidR="0007054C" w:rsidRPr="0007054C" w:rsidRDefault="0007054C" w:rsidP="0007054C">
      <w:pPr>
        <w:shd w:val="clear" w:color="auto" w:fill="FFFFFF"/>
        <w:spacing w:after="150" w:line="240" w:lineRule="auto"/>
        <w:rPr>
          <w:rFonts w:ascii="Noto Sans" w:eastAsia="Times New Roman" w:hAnsi="Noto Sans" w:cs="Noto Sans"/>
          <w:color w:val="495057"/>
          <w:kern w:val="0"/>
          <w:sz w:val="21"/>
          <w:szCs w:val="21"/>
          <w:lang w:eastAsia="en-IE"/>
          <w14:ligatures w14:val="none"/>
        </w:rPr>
      </w:pPr>
      <w:r w:rsidRPr="0007054C">
        <w:rPr>
          <w:rFonts w:ascii="Noto Sans" w:eastAsia="Times New Roman" w:hAnsi="Noto Sans" w:cs="Noto Sans"/>
          <w:color w:val="495057"/>
          <w:kern w:val="0"/>
          <w:sz w:val="21"/>
          <w:szCs w:val="21"/>
          <w:lang w:eastAsia="en-IE"/>
          <w14:ligatures w14:val="none"/>
        </w:rPr>
        <w:t>Our vision is for a workplace culture where differences are valued and where diversity of background, experience and thought are welcomed. We want to create an environment where all employees, regardless of who they are, are given equal opportunities for career progression and enjoy fair reward from their and The Fidelis Partnership's successes. This will be driven by a workforce that embraces Diversity &amp; Inclusion at every level, in every department across The Fidelis Partnership.</w:t>
      </w:r>
    </w:p>
    <w:p w14:paraId="719F53DD" w14:textId="77777777" w:rsidR="0007054C" w:rsidRDefault="0007054C"/>
    <w:sectPr w:rsidR="00070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5C9C"/>
    <w:multiLevelType w:val="multilevel"/>
    <w:tmpl w:val="42B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F7556"/>
    <w:multiLevelType w:val="multilevel"/>
    <w:tmpl w:val="4AE8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20134"/>
    <w:multiLevelType w:val="multilevel"/>
    <w:tmpl w:val="86D2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D6844"/>
    <w:multiLevelType w:val="multilevel"/>
    <w:tmpl w:val="87B4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E035D"/>
    <w:multiLevelType w:val="multilevel"/>
    <w:tmpl w:val="6494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2318C"/>
    <w:multiLevelType w:val="multilevel"/>
    <w:tmpl w:val="FA7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F78D8"/>
    <w:multiLevelType w:val="multilevel"/>
    <w:tmpl w:val="8834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667581">
    <w:abstractNumId w:val="3"/>
  </w:num>
  <w:num w:numId="2" w16cid:durableId="512885562">
    <w:abstractNumId w:val="5"/>
  </w:num>
  <w:num w:numId="3" w16cid:durableId="1479106039">
    <w:abstractNumId w:val="0"/>
  </w:num>
  <w:num w:numId="4" w16cid:durableId="1181436754">
    <w:abstractNumId w:val="1"/>
  </w:num>
  <w:num w:numId="5" w16cid:durableId="1810784804">
    <w:abstractNumId w:val="6"/>
  </w:num>
  <w:num w:numId="6" w16cid:durableId="232398313">
    <w:abstractNumId w:val="4"/>
  </w:num>
  <w:num w:numId="7" w16cid:durableId="1121418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4C"/>
    <w:rsid w:val="0007054C"/>
    <w:rsid w:val="001947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EFF7"/>
  <w15:chartTrackingRefBased/>
  <w15:docId w15:val="{4C5426F8-4C53-4E6F-A45A-E812421F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0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0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4C"/>
    <w:rPr>
      <w:rFonts w:eastAsiaTheme="majorEastAsia" w:cstheme="majorBidi"/>
      <w:color w:val="272727" w:themeColor="text1" w:themeTint="D8"/>
    </w:rPr>
  </w:style>
  <w:style w:type="paragraph" w:styleId="Title">
    <w:name w:val="Title"/>
    <w:basedOn w:val="Normal"/>
    <w:next w:val="Normal"/>
    <w:link w:val="TitleChar"/>
    <w:uiPriority w:val="10"/>
    <w:qFormat/>
    <w:rsid w:val="00070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4C"/>
    <w:pPr>
      <w:spacing w:before="160"/>
      <w:jc w:val="center"/>
    </w:pPr>
    <w:rPr>
      <w:i/>
      <w:iCs/>
      <w:color w:val="404040" w:themeColor="text1" w:themeTint="BF"/>
    </w:rPr>
  </w:style>
  <w:style w:type="character" w:customStyle="1" w:styleId="QuoteChar">
    <w:name w:val="Quote Char"/>
    <w:basedOn w:val="DefaultParagraphFont"/>
    <w:link w:val="Quote"/>
    <w:uiPriority w:val="29"/>
    <w:rsid w:val="0007054C"/>
    <w:rPr>
      <w:i/>
      <w:iCs/>
      <w:color w:val="404040" w:themeColor="text1" w:themeTint="BF"/>
    </w:rPr>
  </w:style>
  <w:style w:type="paragraph" w:styleId="ListParagraph">
    <w:name w:val="List Paragraph"/>
    <w:basedOn w:val="Normal"/>
    <w:uiPriority w:val="34"/>
    <w:qFormat/>
    <w:rsid w:val="0007054C"/>
    <w:pPr>
      <w:ind w:left="720"/>
      <w:contextualSpacing/>
    </w:pPr>
  </w:style>
  <w:style w:type="character" w:styleId="IntenseEmphasis">
    <w:name w:val="Intense Emphasis"/>
    <w:basedOn w:val="DefaultParagraphFont"/>
    <w:uiPriority w:val="21"/>
    <w:qFormat/>
    <w:rsid w:val="0007054C"/>
    <w:rPr>
      <w:i/>
      <w:iCs/>
      <w:color w:val="0F4761" w:themeColor="accent1" w:themeShade="BF"/>
    </w:rPr>
  </w:style>
  <w:style w:type="paragraph" w:styleId="IntenseQuote">
    <w:name w:val="Intense Quote"/>
    <w:basedOn w:val="Normal"/>
    <w:next w:val="Normal"/>
    <w:link w:val="IntenseQuoteChar"/>
    <w:uiPriority w:val="30"/>
    <w:qFormat/>
    <w:rsid w:val="00070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4C"/>
    <w:rPr>
      <w:i/>
      <w:iCs/>
      <w:color w:val="0F4761" w:themeColor="accent1" w:themeShade="BF"/>
    </w:rPr>
  </w:style>
  <w:style w:type="character" w:styleId="IntenseReference">
    <w:name w:val="Intense Reference"/>
    <w:basedOn w:val="DefaultParagraphFont"/>
    <w:uiPriority w:val="32"/>
    <w:qFormat/>
    <w:rsid w:val="0007054C"/>
    <w:rPr>
      <w:b/>
      <w:bCs/>
      <w:smallCaps/>
      <w:color w:val="0F4761" w:themeColor="accent1" w:themeShade="BF"/>
      <w:spacing w:val="5"/>
    </w:rPr>
  </w:style>
  <w:style w:type="paragraph" w:styleId="NormalWeb">
    <w:name w:val="Normal (Web)"/>
    <w:basedOn w:val="Normal"/>
    <w:uiPriority w:val="99"/>
    <w:semiHidden/>
    <w:unhideWhenUsed/>
    <w:rsid w:val="0007054C"/>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07054C"/>
    <w:rPr>
      <w:b/>
      <w:bCs/>
    </w:rPr>
  </w:style>
  <w:style w:type="character" w:styleId="Hyperlink">
    <w:name w:val="Hyperlink"/>
    <w:basedOn w:val="DefaultParagraphFont"/>
    <w:uiPriority w:val="99"/>
    <w:semiHidden/>
    <w:unhideWhenUsed/>
    <w:rsid w:val="00070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Akbib</dc:creator>
  <cp:keywords/>
  <dc:description/>
  <cp:lastModifiedBy>Serena Akbib</cp:lastModifiedBy>
  <cp:revision>2</cp:revision>
  <dcterms:created xsi:type="dcterms:W3CDTF">2026-03-09T16:58:00Z</dcterms:created>
  <dcterms:modified xsi:type="dcterms:W3CDTF">2026-03-09T16:58:00Z</dcterms:modified>
</cp:coreProperties>
</file>